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产企业名单（第6期）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重庆天江一方药业有限公司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91500107MA5YMQWB1C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渝20190159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2024/7/30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重庆市泽生堂药业有限公司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91500225MA60903X66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重庆智翔金泰生物制药股份有限公司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91500113MA5U36LJ53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渝20190161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2024/8/5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C845C86"/>
    <w:rsid w:val="108D40E4"/>
    <w:rsid w:val="2CD675B3"/>
    <w:rsid w:val="3B056063"/>
    <w:rsid w:val="40072C02"/>
    <w:rsid w:val="56E47BA9"/>
    <w:rsid w:val="7AA17B6D"/>
    <w:rsid w:val="7AC8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2024-02-27T08:27:29Z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4651FED2DBBB4BED8D6AF862CB3B7F67_11</vt:lpwstr>
  </property>
</Properties>
</file>